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Załącznik nr 1</w:t>
      </w:r>
    </w:p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do uchwały nr</w:t>
      </w:r>
      <w:r w:rsidR="004A3FA2">
        <w:rPr>
          <w:rFonts w:asciiTheme="majorHAnsi" w:hAnsiTheme="majorHAnsi" w:cs="Arial"/>
          <w:b/>
          <w:sz w:val="24"/>
          <w:szCs w:val="24"/>
        </w:rPr>
        <w:t xml:space="preserve"> XXIII/139</w:t>
      </w:r>
      <w:r w:rsidR="00F345D6">
        <w:rPr>
          <w:rFonts w:asciiTheme="majorHAnsi" w:hAnsiTheme="majorHAnsi" w:cs="Arial"/>
          <w:b/>
          <w:sz w:val="24"/>
          <w:szCs w:val="24"/>
        </w:rPr>
        <w:t>/12</w:t>
      </w:r>
    </w:p>
    <w:p w:rsidR="008A44EE" w:rsidRPr="008A44EE" w:rsidRDefault="00F345D6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4A3FA2" w:rsidP="008A44EE">
      <w:pPr>
        <w:spacing w:line="240" w:lineRule="auto"/>
        <w:ind w:left="5670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22</w:t>
      </w:r>
      <w:r w:rsidR="00F345D6">
        <w:rPr>
          <w:rFonts w:asciiTheme="majorHAnsi" w:hAnsiTheme="majorHAnsi" w:cs="Arial"/>
          <w:b/>
          <w:sz w:val="24"/>
          <w:szCs w:val="24"/>
        </w:rPr>
        <w:t xml:space="preserve"> listopada 2012 r.</w:t>
      </w: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samochodów ciężarowych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4EE">
        <w:rPr>
          <w:rFonts w:asciiTheme="majorHAnsi" w:hAnsiTheme="majorHAnsi" w:cs="Arial"/>
          <w:bCs/>
          <w:sz w:val="24"/>
          <w:szCs w:val="24"/>
        </w:rPr>
        <w:t>o dopuszczalnej masie całkowitej równej lub wyższej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784"/>
        <w:gridCol w:w="1158"/>
        <w:gridCol w:w="2229"/>
        <w:gridCol w:w="2254"/>
      </w:tblGrid>
      <w:tr w:rsidR="008A44EE" w:rsidRPr="008A44EE" w:rsidTr="00B8762B">
        <w:trPr>
          <w:cantSplit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w tonach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zawieszeniem pneumatycznym lub zawieszeniem uznanym za równoważne (w zł)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72010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Cztery osie i więcej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72054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DF556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544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</w:t>
            </w:r>
            <w:r w:rsidR="0072010A"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F556D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  <w:r w:rsidR="0072010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2</w:t>
      </w:r>
    </w:p>
    <w:p w:rsidR="008A44EE" w:rsidRPr="008A44EE" w:rsidRDefault="00E859CF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XXIII/139</w:t>
      </w:r>
      <w:r w:rsidR="0012140E">
        <w:rPr>
          <w:rFonts w:asciiTheme="majorHAnsi" w:hAnsiTheme="majorHAnsi" w:cs="Arial"/>
          <w:b/>
          <w:sz w:val="24"/>
          <w:szCs w:val="24"/>
        </w:rPr>
        <w:t>/12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E859CF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22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listopada 2012 r.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zespołu pojazdów: ciągnik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siodłowy + naczepa; ciągnik balastowy + przyczepa 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2B1F8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2B1F84" w:rsidRDefault="002B1F84" w:rsidP="002B1F84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F9422A" w:rsidRDefault="00F9422A" w:rsidP="00F9422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2B1F84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427849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F9422A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3</w:t>
      </w:r>
    </w:p>
    <w:p w:rsidR="008A44EE" w:rsidRPr="008A44EE" w:rsidRDefault="009C107D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XXIII/139</w:t>
      </w:r>
      <w:r w:rsidR="0012140E">
        <w:rPr>
          <w:rFonts w:asciiTheme="majorHAnsi" w:hAnsiTheme="majorHAnsi" w:cs="Arial"/>
          <w:b/>
          <w:sz w:val="24"/>
          <w:szCs w:val="24"/>
        </w:rPr>
        <w:t>/12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Rady Gminy Hanna </w:t>
      </w:r>
    </w:p>
    <w:p w:rsidR="008A44EE" w:rsidRDefault="009C107D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22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listopada 2012 r. </w:t>
      </w:r>
    </w:p>
    <w:p w:rsidR="0012140E" w:rsidRPr="008A44EE" w:rsidRDefault="0012140E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przyczep i naczep, które łącznie z pojazdem silnikowym posiadają dopuszczalną masę całkowitą równą lub wyższą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Dopuszczalna masa całkowita zespołu pojazdów: przyczepa (naczepa + pojazd silnikowy)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i naczep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z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i naczep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1B61D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Jedna oś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C0D10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1.1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2F7680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1.3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EC0D10"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2F768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</w:tbl>
    <w:p w:rsidR="008A44EE" w:rsidRPr="008A44EE" w:rsidRDefault="008A44EE" w:rsidP="008A44EE">
      <w:pPr>
        <w:widowControl w:val="0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i/>
          <w:iCs/>
          <w:sz w:val="24"/>
          <w:szCs w:val="24"/>
        </w:rPr>
      </w:pPr>
    </w:p>
    <w:p w:rsidR="00E423DA" w:rsidRPr="008A44EE" w:rsidRDefault="00E423DA" w:rsidP="008A44EE">
      <w:pPr>
        <w:rPr>
          <w:rFonts w:asciiTheme="majorHAnsi" w:hAnsiTheme="majorHAnsi"/>
        </w:rPr>
      </w:pPr>
    </w:p>
    <w:sectPr w:rsidR="00E423DA" w:rsidRPr="008A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E"/>
    <w:rsid w:val="0012140E"/>
    <w:rsid w:val="001B61D4"/>
    <w:rsid w:val="002B1F84"/>
    <w:rsid w:val="002F7680"/>
    <w:rsid w:val="00427849"/>
    <w:rsid w:val="00446E0F"/>
    <w:rsid w:val="004A3FA2"/>
    <w:rsid w:val="0072010A"/>
    <w:rsid w:val="00720544"/>
    <w:rsid w:val="008A44EE"/>
    <w:rsid w:val="009C107D"/>
    <w:rsid w:val="00B15BA7"/>
    <w:rsid w:val="00D210C1"/>
    <w:rsid w:val="00DF556D"/>
    <w:rsid w:val="00E423DA"/>
    <w:rsid w:val="00E83C2A"/>
    <w:rsid w:val="00E859CF"/>
    <w:rsid w:val="00EC0D10"/>
    <w:rsid w:val="00EE71F6"/>
    <w:rsid w:val="00F345D6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16</cp:revision>
  <cp:lastPrinted>2012-11-27T09:49:00Z</cp:lastPrinted>
  <dcterms:created xsi:type="dcterms:W3CDTF">2012-10-31T12:00:00Z</dcterms:created>
  <dcterms:modified xsi:type="dcterms:W3CDTF">2012-11-27T09:55:00Z</dcterms:modified>
</cp:coreProperties>
</file>